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napToGrid w:val="0"/>
        <w:spacing w:beforeAutospacing="0" w:afterAutospacing="0"/>
        <w:ind w:right="-1399" w:rightChars="-666"/>
        <w:rPr>
          <w:rFonts w:ascii="楷体_GB2312" w:eastAsia="楷体_GB2312"/>
          <w:color w:val="548235" w:themeColor="accent6" w:themeShade="BF"/>
          <w:sz w:val="36"/>
          <w:szCs w:val="36"/>
        </w:rPr>
      </w:pPr>
      <w:r>
        <w:rPr>
          <w:rFonts w:hint="eastAsia" w:ascii="楷体_GB2312" w:eastAsia="楷体_GB2312"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1802765</wp:posOffset>
            </wp:positionV>
            <wp:extent cx="7784465" cy="709295"/>
            <wp:effectExtent l="0" t="0" r="6985" b="14605"/>
            <wp:wrapNone/>
            <wp:docPr id="7" name="图片 7" descr="教学简报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教学简报0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8446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color w:val="548235" w:themeColor="accent6" w:themeShade="BF"/>
          <w:sz w:val="36"/>
          <w:szCs w:val="36"/>
        </w:rPr>
        <w:drawing>
          <wp:inline distT="0" distB="0" distL="114300" distR="114300">
            <wp:extent cx="7741285" cy="1764030"/>
            <wp:effectExtent l="0" t="0" r="12065" b="7620"/>
            <wp:docPr id="5" name="图片 5" descr="教学简报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教学简报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41285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napToGrid w:val="0"/>
        <w:spacing w:beforeAutospacing="0" w:afterAutospacing="0"/>
        <w:ind w:right="-1399" w:rightChars="-666"/>
        <w:rPr>
          <w:rFonts w:ascii="仿宋_GB2312" w:hAnsi="仿宋_GB2312" w:eastAsia="仿宋_GB2312" w:cs="仿宋_GB2312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t xml:space="preserve">    2017年第1</w:t>
      </w:r>
      <w:r>
        <w:rPr>
          <w:rFonts w:hint="eastAsia" w:ascii="仿宋_GB2312" w:hAnsi="仿宋_GB2312" w:eastAsia="仿宋_GB2312" w:cs="仿宋_GB2312"/>
          <w:color w:val="FFFFFF" w:themeColor="background1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t>期（总第</w:t>
      </w:r>
      <w:r>
        <w:rPr>
          <w:rFonts w:ascii="仿宋_GB2312" w:hAnsi="仿宋_GB2312" w:eastAsia="仿宋_GB2312" w:cs="仿宋_GB2312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t>60</w:t>
      </w:r>
      <w:r>
        <w:rPr>
          <w:rFonts w:hint="eastAsia" w:ascii="仿宋_GB2312" w:hAnsi="仿宋_GB2312" w:eastAsia="仿宋_GB2312" w:cs="仿宋_GB2312"/>
          <w:color w:val="FFFFFF" w:themeColor="background1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8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t xml:space="preserve">期）    中国科学技术大学教务处     </w:t>
      </w:r>
      <w:r>
        <w:rPr>
          <w:rFonts w:hint="eastAsia" w:ascii="仿宋_GB2312" w:hAnsi="仿宋_GB2312" w:eastAsia="仿宋_GB2312" w:cs="仿宋_GB2312"/>
          <w:color w:val="FFFFFF" w:themeColor="background1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 xml:space="preserve"> 10</w:t>
      </w:r>
      <w:r>
        <w:rPr>
          <w:rFonts w:hint="eastAsia" w:ascii="仿宋_GB2312" w:hAnsi="仿宋_GB2312" w:eastAsia="仿宋_GB2312" w:cs="仿宋_GB2312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FFFFFF" w:themeColor="background1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t>日</w:t>
      </w:r>
    </w:p>
    <w:p>
      <w:pPr>
        <w:pStyle w:val="5"/>
        <w:snapToGrid w:val="0"/>
        <w:spacing w:beforeAutospacing="0" w:afterAutospacing="0"/>
        <w:ind w:right="277" w:rightChars="132"/>
        <w:rPr>
          <w:rFonts w:ascii="楷体_GB2312" w:eastAsia="楷体_GB2312"/>
          <w:color w:val="548235" w:themeColor="accent6" w:themeShade="BF"/>
          <w:sz w:val="36"/>
          <w:szCs w:val="36"/>
        </w:rPr>
      </w:pPr>
      <w:r>
        <w:rPr>
          <w:rFonts w:hint="eastAsia" w:asciiTheme="minorEastAsia" w:hAnsiTheme="minorEastAsia"/>
          <w:b/>
          <w:szCs w:val="24"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111125</wp:posOffset>
            </wp:positionV>
            <wp:extent cx="7940040" cy="19240500"/>
            <wp:effectExtent l="0" t="0" r="3810" b="0"/>
            <wp:wrapNone/>
            <wp:docPr id="9" name="图片 9" descr="教学简报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教学简报0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40040" cy="1924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楷体_GB2312" w:hAnsi="楷体_GB2312" w:eastAsia="楷体_GB2312" w:cs="楷体_GB2312"/>
          <w:b/>
          <w:sz w:val="44"/>
          <w:szCs w:val="44"/>
          <w:lang w:val="zh-CN"/>
        </w:rPr>
      </w:pPr>
      <w:r>
        <w:rPr>
          <w:rFonts w:hint="eastAsia" w:ascii="楷体_GB2312" w:hAnsi="楷体_GB2312" w:eastAsia="楷体_GB2312" w:cs="楷体_GB2312"/>
          <w:b/>
          <w:sz w:val="44"/>
          <w:szCs w:val="44"/>
          <w:lang w:val="zh-CN"/>
        </w:rPr>
        <w:t>2017年春季学期课堂教学学生问卷结果通报</w:t>
      </w:r>
    </w:p>
    <w:p>
      <w:pPr>
        <w:jc w:val="center"/>
        <w:rPr>
          <w:rFonts w:hint="eastAsia" w:ascii="楷体_GB2312" w:hAnsi="楷体_GB2312" w:eastAsia="楷体_GB2312" w:cs="楷体_GB2312"/>
          <w:b/>
          <w:sz w:val="44"/>
          <w:szCs w:val="44"/>
          <w:lang w:val="zh-CN"/>
        </w:rPr>
      </w:pPr>
    </w:p>
    <w:p>
      <w:pPr>
        <w:spacing w:line="360" w:lineRule="auto"/>
        <w:ind w:left="840" w:leftChars="400" w:right="985" w:rightChars="469" w:firstLine="560" w:firstLineChars="200"/>
        <w:rPr>
          <w:rFonts w:hint="eastAsia"/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对课堂教学的评价，是学校监督教学过程，保证教学质量的一个重要环节。在对课堂教学评价的过程中，学生对教师的课堂教学评价是一个不可或缺的重要指标。2017年春季学期期末，本科学生在网上填写“课堂教学质量评估表”，由学生对任课老师的教学态度、教学内容、教学方法和教学效果等进行评分并提出意见和建议。在各院系教学秘书的大力支持下，一共对819个理论课（包括公共选修课、研讨课和双学位课）、83个实验课、133个体育课课堂进行了网上评教。收回理论课程评估表41862份、实验课程评估表4839份和体育课程评估表3364份。在此，我们感谢各院系认真细致的工作和同学们的大力配合!</w:t>
      </w:r>
    </w:p>
    <w:p>
      <w:pPr>
        <w:spacing w:line="360" w:lineRule="auto"/>
        <w:ind w:left="840" w:leftChars="400" w:right="985" w:rightChars="469" w:firstLine="560" w:firstLineChars="200"/>
        <w:rPr>
          <w:rFonts w:hint="eastAsia"/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教务处</w:t>
      </w:r>
      <w:bookmarkStart w:id="0" w:name="OLE_LINK5"/>
      <w:r>
        <w:rPr>
          <w:rFonts w:hint="eastAsia"/>
          <w:sz w:val="28"/>
          <w:szCs w:val="28"/>
          <w:lang w:val="zh-CN"/>
        </w:rPr>
        <w:t>对收回的41862份理论课程的评估表进行了认真整理和分析，</w:t>
      </w:r>
      <w:bookmarkEnd w:id="0"/>
      <w:r>
        <w:rPr>
          <w:rFonts w:hint="eastAsia"/>
          <w:sz w:val="28"/>
          <w:szCs w:val="28"/>
          <w:lang w:val="zh-CN"/>
        </w:rPr>
        <w:t>结果是：学生满意的课程(评估得分≥4.50)共779门，占测评课程总数的95.12%；比较满意的课程(3.75分≤得分&lt;4.50)39门，占测评课程总数的4.76%；学生评估满意和比较满意的课程共818门，占测评课程数的99.88%；学生评估一般的课程(3.0分≤得分&lt;3.75)共1门，占测评课程总数的0.12%；学生不满意(得分&lt;3.0分)的课程数为0。总体情况请见表1</w:t>
      </w:r>
    </w:p>
    <w:p>
      <w:pPr>
        <w:jc w:val="center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表1  学生对理论课课堂教学评价的总体情况</w:t>
      </w:r>
    </w:p>
    <w:tbl>
      <w:tblPr>
        <w:tblStyle w:val="7"/>
        <w:tblW w:w="80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744"/>
        <w:gridCol w:w="1744"/>
        <w:gridCol w:w="1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评价分类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满意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比较满意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一般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课程数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779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比率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95.12%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4.76%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0.12</w:t>
            </w:r>
            <w:r>
              <w:rPr>
                <w:rFonts w:hint="eastAsia"/>
                <w:sz w:val="24"/>
              </w:rPr>
              <w:t>%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</w:t>
            </w:r>
          </w:p>
        </w:tc>
      </w:tr>
    </w:tbl>
    <w:p>
      <w:pPr>
        <w:rPr>
          <w:sz w:val="24"/>
        </w:rPr>
      </w:pPr>
    </w:p>
    <w:p>
      <w:pPr>
        <w:spacing w:line="360" w:lineRule="auto"/>
        <w:ind w:left="840" w:leftChars="400" w:right="985" w:rightChars="469" w:firstLine="560" w:firstLineChars="200"/>
        <w:rPr>
          <w:rFonts w:hint="eastAsia"/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图示：</w:t>
      </w:r>
    </w:p>
    <w:p>
      <w:pPr>
        <w:jc w:val="center"/>
        <w:rPr>
          <w:color w:val="000000"/>
          <w:sz w:val="24"/>
        </w:rPr>
      </w:pPr>
      <w:r>
        <w:drawing>
          <wp:inline distT="0" distB="0" distL="0" distR="0">
            <wp:extent cx="4572000" cy="2743200"/>
            <wp:effectExtent l="4445" t="4445" r="14605" b="14605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pStyle w:val="4"/>
        <w:spacing w:line="400" w:lineRule="exac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left="840" w:leftChars="400" w:right="985" w:rightChars="469" w:firstLine="560" w:firstLineChars="200"/>
        <w:rPr>
          <w:rFonts w:hint="eastAsia"/>
          <w:sz w:val="28"/>
          <w:szCs w:val="28"/>
          <w:lang w:val="zh-CN" w:eastAsia="zh-CN"/>
        </w:rPr>
      </w:pPr>
      <w:r>
        <w:rPr>
          <w:rFonts w:hint="eastAsia"/>
          <w:sz w:val="28"/>
          <w:szCs w:val="28"/>
          <w:lang w:val="zh-CN" w:eastAsia="zh-CN"/>
        </w:rPr>
        <w:t>对收回的4839份实验课程的评估表进行了认真整理和分析，结果是：学生满意的课堂数为50个, 占测评课程总数的60%；学生比较满意的课堂数为33个，占测评课程总数的40%；学生评价一般和不满意的课堂数均为0。</w:t>
      </w:r>
    </w:p>
    <w:p>
      <w:pPr>
        <w:spacing w:line="360" w:lineRule="auto"/>
        <w:ind w:left="840" w:leftChars="400" w:right="985" w:rightChars="469" w:firstLine="560" w:firstLineChars="200"/>
        <w:rPr>
          <w:rFonts w:hint="eastAsia"/>
          <w:sz w:val="28"/>
          <w:szCs w:val="28"/>
          <w:lang w:val="zh-CN" w:eastAsia="zh-CN"/>
        </w:rPr>
      </w:pPr>
      <w:r>
        <w:rPr>
          <w:rFonts w:hint="eastAsia"/>
          <w:sz w:val="28"/>
          <w:szCs w:val="28"/>
          <w:lang w:val="zh-CN" w:eastAsia="zh-CN"/>
        </w:rPr>
        <w:t>对收回的3364份体育课程的评估表进行了认真整理和分析，结果是：学生满意的课堂数为132个, 占测评课程总数的99.25%；学生比较满意的课堂数为1个, 占测评课程总数的0.75%；一般和不满意的课堂数均为0。</w:t>
      </w:r>
    </w:p>
    <w:p>
      <w:pPr>
        <w:spacing w:line="360" w:lineRule="auto"/>
        <w:ind w:left="840" w:leftChars="400" w:right="985" w:rightChars="469" w:firstLine="560" w:firstLineChars="200"/>
        <w:rPr>
          <w:rFonts w:hint="eastAsia"/>
          <w:sz w:val="28"/>
          <w:szCs w:val="28"/>
          <w:lang w:val="zh-CN" w:eastAsia="zh-CN"/>
        </w:rPr>
      </w:pPr>
      <w:r>
        <w:rPr>
          <w:rFonts w:hint="eastAsia"/>
          <w:sz w:val="28"/>
          <w:szCs w:val="28"/>
          <w:lang w:val="zh-CN" w:eastAsia="zh-CN"/>
        </w:rPr>
        <w:t>附件一：测评分≥4.5分理论课课堂情况汇总</w:t>
      </w:r>
    </w:p>
    <w:p>
      <w:pPr>
        <w:spacing w:line="360" w:lineRule="auto"/>
        <w:ind w:left="840" w:leftChars="400" w:right="985" w:rightChars="469" w:firstLine="560" w:firstLineChars="200"/>
        <w:rPr>
          <w:rFonts w:hint="eastAsia"/>
          <w:sz w:val="28"/>
          <w:szCs w:val="28"/>
          <w:lang w:val="zh-CN" w:eastAsia="zh-CN"/>
        </w:rPr>
      </w:pPr>
      <w:r>
        <w:rPr>
          <w:rFonts w:hint="eastAsia"/>
          <w:sz w:val="28"/>
          <w:szCs w:val="28"/>
          <w:lang w:val="zh-CN" w:eastAsia="zh-CN"/>
        </w:rPr>
        <w:t>附件二：2017年春季学期课程学生问卷结果一览表</w:t>
      </w:r>
    </w:p>
    <w:p>
      <w:pPr>
        <w:spacing w:line="360" w:lineRule="auto"/>
        <w:ind w:left="840" w:leftChars="400" w:right="985" w:rightChars="469" w:firstLine="560" w:firstLineChars="200"/>
        <w:rPr>
          <w:rFonts w:hint="eastAsia"/>
          <w:sz w:val="28"/>
          <w:szCs w:val="28"/>
          <w:lang w:val="zh-CN" w:eastAsia="zh-CN"/>
        </w:rPr>
      </w:pPr>
    </w:p>
    <w:p>
      <w:pPr>
        <w:spacing w:line="360" w:lineRule="auto"/>
        <w:ind w:left="840" w:leftChars="400" w:right="985" w:rightChars="469" w:firstLine="560" w:firstLineChars="200"/>
        <w:rPr>
          <w:rFonts w:hint="eastAsia"/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 xml:space="preserve">                                                   教务处</w:t>
      </w:r>
    </w:p>
    <w:p>
      <w:pPr>
        <w:spacing w:line="360" w:lineRule="auto"/>
        <w:ind w:left="840" w:leftChars="400" w:right="985" w:rightChars="469" w:firstLine="560" w:firstLineChars="200"/>
        <w:rPr>
          <w:rFonts w:hint="eastAsia"/>
          <w:sz w:val="28"/>
          <w:szCs w:val="28"/>
          <w:lang w:val="zh-CN"/>
        </w:rPr>
      </w:pPr>
    </w:p>
    <w:p>
      <w:pPr/>
    </w:p>
    <w:sectPr>
      <w:headerReference r:id="rId3" w:type="default"/>
      <w:footerReference r:id="rId4" w:type="default"/>
      <w:pgSz w:w="12191" w:h="31181"/>
      <w:pgMar w:top="0" w:right="0" w:bottom="0" w:left="0" w:header="0" w:footer="0" w:gutter="0"/>
      <w:cols w:space="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E63F7"/>
    <w:rsid w:val="013D00DA"/>
    <w:rsid w:val="027A2FA4"/>
    <w:rsid w:val="077016E0"/>
    <w:rsid w:val="298F0E67"/>
    <w:rsid w:val="3CBA2702"/>
    <w:rsid w:val="5F3E63F7"/>
    <w:rsid w:val="63C07BD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szCs w:val="22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C:\Users\ustc\Desktop\jie\2017&#26149;&#26399;&#26411;&#35838;&#22530;&#27979;&#35780;&#21450;&#31616;&#25253;\2017&#26149;&#21407;&#22987;&#27979;&#35780;&#25968;&#25454;\&#29702;&#35770;&#3583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Sheet3!$A$2</c:f>
              <c:strCache>
                <c:ptCount val="1"/>
                <c:pt idx="0">
                  <c:v>满意度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1" vertOverflow="ellipsis" horzOverflow="overflow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Sheet3!$B$1:$E$1</c:f>
              <c:strCache>
                <c:ptCount val="4"/>
                <c:pt idx="0">
                  <c:v>满意</c:v>
                </c:pt>
                <c:pt idx="1">
                  <c:v>比较满意</c:v>
                </c:pt>
                <c:pt idx="2">
                  <c:v>一般</c:v>
                </c:pt>
                <c:pt idx="3">
                  <c:v>不满意</c:v>
                </c:pt>
              </c:strCache>
            </c:strRef>
          </c:cat>
          <c:val>
            <c:numRef>
              <c:f>Sheet3!$B$2:$E$2</c:f>
              <c:numCache>
                <c:formatCode>General</c:formatCode>
                <c:ptCount val="4"/>
                <c:pt idx="0" c:formatCode="General">
                  <c:v>779</c:v>
                </c:pt>
                <c:pt idx="1" c:formatCode="General">
                  <c:v>39</c:v>
                </c:pt>
                <c:pt idx="2" c:formatCode="General">
                  <c:v>1</c:v>
                </c:pt>
                <c:pt idx="3" c:formatCode="General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37553432"/>
        <c:axId val="437552648"/>
      </c:barChart>
      <c:catAx>
        <c:axId val="437553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horzOverflow="overflow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37552648"/>
        <c:crosses val="autoZero"/>
        <c:auto val="1"/>
        <c:lblAlgn val="ctr"/>
        <c:lblOffset val="100"/>
        <c:tickMarkSkip val="1"/>
        <c:noMultiLvlLbl val="0"/>
      </c:catAx>
      <c:valAx>
        <c:axId val="437552648"/>
        <c:scaling>
          <c:orientation val="minMax"/>
        </c:scaling>
        <c:delete val="0"/>
        <c:axPos val="l"/>
        <c:majorGridlines>
          <c:spPr>
            <a:noFill/>
            <a:ln w="31750" cap="flat" cmpd="sng" algn="ctr">
              <a:solidFill>
                <a:schemeClr val="tx2">
                  <a:lumMod val="60000"/>
                  <a:lumOff val="40000"/>
                </a:schemeClr>
              </a:solidFill>
              <a:round/>
            </a:ln>
            <a:effectLst>
              <a:outerShdw blurRad="50800" dist="50800" dir="5400000" algn="ctr" rotWithShape="0">
                <a:schemeClr val="tx1">
                  <a:lumMod val="65000"/>
                  <a:lumOff val="35000"/>
                </a:schemeClr>
              </a:outerShdw>
            </a:effectLst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horzOverflow="overflow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37553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horzOverflow="overflow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rot="0" spcFirstLastPara="0" vertOverflow="ellipsis" horzOverflow="overflow" vert="horz" wrap="square" anchor="ctr" anchorCtr="1"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2017-09-14T07:32:00Z</dcterms:created>
  <dc:creator>601</dc:creator>
  <cp:lastModifiedBy>601</cp:lastModifiedBy>
  <dcterms:modified xsi:type="dcterms:W3CDTF">2017-12-12T01:41:28Z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